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6ABCA" w14:textId="77777777" w:rsidR="003F3BF0" w:rsidRPr="003F3BF0" w:rsidRDefault="003F3BF0" w:rsidP="003F3BF0">
      <w:pPr>
        <w:rPr>
          <w:sz w:val="48"/>
          <w:szCs w:val="48"/>
        </w:rPr>
      </w:pPr>
      <w:r w:rsidRPr="003F3BF0">
        <w:rPr>
          <w:sz w:val="48"/>
          <w:szCs w:val="48"/>
        </w:rPr>
        <w:t>National Security Risks Posed by Chinese Components in U.S. Critical Infrastructure</w:t>
      </w:r>
    </w:p>
    <w:p w14:paraId="4CF4C36C" w14:textId="77777777" w:rsidR="003F3BF0" w:rsidRPr="003F3BF0" w:rsidRDefault="003F3BF0" w:rsidP="003F3BF0">
      <w:r w:rsidRPr="003F3BF0">
        <w:t>Focus on Battery Energy Storage Systems, Solar Technology, and Ties to the Chinese Communist Party</w:t>
      </w:r>
    </w:p>
    <w:p w14:paraId="4EA94595" w14:textId="049D29F4" w:rsidR="003F3BF0" w:rsidRDefault="003F3BF0" w:rsidP="003F3BF0">
      <w:r w:rsidRPr="003F3BF0">
        <w:t xml:space="preserve">Author: </w:t>
      </w:r>
      <w:r>
        <w:t>Nancy White</w:t>
      </w:r>
      <w:r w:rsidR="002C6B4F">
        <w:t>- President/Owner Legislative Energy Action Foundation</w:t>
      </w:r>
      <w:r w:rsidRPr="003F3BF0">
        <w:br/>
        <w:t>Date: November 13, 2025</w:t>
      </w:r>
    </w:p>
    <w:p w14:paraId="54AF26C9" w14:textId="77777777" w:rsidR="003F3BF0" w:rsidRPr="003F3BF0" w:rsidRDefault="003F3BF0" w:rsidP="003F3BF0"/>
    <w:p w14:paraId="46C0D325" w14:textId="77777777" w:rsidR="003F3BF0" w:rsidRPr="003F3BF0" w:rsidRDefault="003F3BF0" w:rsidP="003F3BF0">
      <w:pPr>
        <w:rPr>
          <w:sz w:val="40"/>
          <w:szCs w:val="40"/>
        </w:rPr>
      </w:pPr>
      <w:r w:rsidRPr="003F3BF0">
        <w:rPr>
          <w:sz w:val="40"/>
          <w:szCs w:val="40"/>
        </w:rPr>
        <w:t>Executive Summary</w:t>
      </w:r>
    </w:p>
    <w:p w14:paraId="76B22FEB" w14:textId="2CE53A51" w:rsidR="003F3BF0" w:rsidRDefault="003F3BF0" w:rsidP="003F3BF0">
      <w:r w:rsidRPr="003F3BF0">
        <w:t>The integration of components from Chinese companies, particularly Contemporary Amperex Technology Co. Limited (CATL), into U.S. critical infrastructure raises significant national security concerns due to documented ties between these entities and the Chinese Communist Party (CCP) and People's Republic of China (PRC) military. This white paper examines key events from 2023 to 2025, including the removal of CATL batteries from U.S. military bases, the addition of CATL to the Department of Defense's (DoD) Section 1260H list, and state-level responses such as Texas Executive Orders GA-48 and GA-49. It highlights vulnerabilities in the energy sector, where Chinese components dominate approximately 70% of solar panels and 90% of battery energy storage systems (BESS) globally, and notes Texas's ERCOT grid as a focal point with over 1,000 planned battery projects. Broader trends reveal CCP/PRC efforts to exploit U.S. environmental, social, and governance (ESG) narratives and climate change policies for infiltration, including cyber threats like Volt Typhoon. Recommendations emphasize prohibiting access by non-allied entities with civil-military fusion records, even for maintenance, to safeguard infrastructure.</w:t>
      </w:r>
    </w:p>
    <w:p w14:paraId="66ED9EC2" w14:textId="77777777" w:rsidR="003F3BF0" w:rsidRPr="003F3BF0" w:rsidRDefault="003F3BF0" w:rsidP="003F3BF0"/>
    <w:p w14:paraId="29ADF7F7" w14:textId="77777777" w:rsidR="003F3BF0" w:rsidRPr="003F3BF0" w:rsidRDefault="003F3BF0" w:rsidP="003F3BF0">
      <w:pPr>
        <w:rPr>
          <w:sz w:val="40"/>
          <w:szCs w:val="40"/>
        </w:rPr>
      </w:pPr>
      <w:r w:rsidRPr="003F3BF0">
        <w:rPr>
          <w:sz w:val="40"/>
          <w:szCs w:val="40"/>
        </w:rPr>
        <w:t>Introduction</w:t>
      </w:r>
    </w:p>
    <w:p w14:paraId="232B5680" w14:textId="1E63DC7B" w:rsidR="003F3BF0" w:rsidRDefault="003F3BF0" w:rsidP="003F3BF0">
      <w:r w:rsidRPr="003F3BF0">
        <w:t xml:space="preserve">The United States faces escalating threats to its critical infrastructure from adversarial nations, particularly the PRC, which has demonstrated a pattern of using economic leverage, supply chain dominance, and cyber operations to undermine national security. Chinese firms like CATL, the world's largest battery manufacturer, exemplify these risks through their integration into U.S. energy systems while maintaining close ties to the CCP military. This white paper synthesizes recent developments, policy actions, and emerging </w:t>
      </w:r>
      <w:r w:rsidRPr="003F3BF0">
        <w:lastRenderedPageBreak/>
        <w:t>trends, arguing that entities on the DoD's national security lists, such as CATL under Section 1260H, should be barred from any access to U.S. infrastructure</w:t>
      </w:r>
      <w:r>
        <w:t xml:space="preserve">, </w:t>
      </w:r>
      <w:r w:rsidRPr="003F3BF0">
        <w:t>including maintenance or warranty services</w:t>
      </w:r>
      <w:r>
        <w:t xml:space="preserve">, </w:t>
      </w:r>
      <w:r w:rsidRPr="003F3BF0">
        <w:t>due to proven risks of silent infiltration and civil-military fusion. It also underscores how the CCP exploits U.S. ESG and climate initiatives to embed vulnerabilities in critical sectors like energy grids.</w:t>
      </w:r>
    </w:p>
    <w:p w14:paraId="5295E684" w14:textId="77777777" w:rsidR="003F3BF0" w:rsidRDefault="003F3BF0" w:rsidP="003F3BF0"/>
    <w:p w14:paraId="7A649F96" w14:textId="77777777" w:rsidR="003F3BF0" w:rsidRPr="003F3BF0" w:rsidRDefault="003F3BF0" w:rsidP="003F3BF0">
      <w:pPr>
        <w:rPr>
          <w:sz w:val="40"/>
          <w:szCs w:val="40"/>
        </w:rPr>
      </w:pPr>
      <w:r w:rsidRPr="003F3BF0">
        <w:rPr>
          <w:sz w:val="40"/>
          <w:szCs w:val="40"/>
        </w:rPr>
        <w:t>Background on CATL and CCP Ties</w:t>
      </w:r>
    </w:p>
    <w:p w14:paraId="08FD6D09" w14:textId="24A21DF9" w:rsidR="003F3BF0" w:rsidRPr="003F3BF0" w:rsidRDefault="003F3BF0" w:rsidP="003F3BF0">
      <w:r w:rsidRPr="003F3BF0">
        <w:t xml:space="preserve">CATL, founded in 2011, has become a global leader in lithium-ion batteries, supplying major automakers and energy firms. However, its operations are deeply intertwined with the CCP's military-civil fusion strategy, which mandates that civilian technologies support military objectives. The DoD has identified CATL as a "Chinese military company" operating in the U.S., citing its contributions to the People's Liberation Army (PLA) through advanced technologies and funding from PRC state entities. </w:t>
      </w:r>
    </w:p>
    <w:p w14:paraId="7D4CA3DE" w14:textId="5E6FBEEA" w:rsidR="003F3BF0" w:rsidRPr="003F3BF0" w:rsidRDefault="003F3BF0" w:rsidP="003F3BF0">
      <w:pPr>
        <w:rPr>
          <w:vanish/>
        </w:rPr>
      </w:pPr>
    </w:p>
    <w:p w14:paraId="12D5A17A" w14:textId="77777777" w:rsidR="002C6B4F" w:rsidRDefault="003F3BF0" w:rsidP="003F3BF0">
      <w:r w:rsidRPr="003F3BF0">
        <w:t>This fusion allows the CCP to leverage commercial entities for intelligence gathering, cyber espionage, and potential sabotage.</w:t>
      </w:r>
    </w:p>
    <w:p w14:paraId="0037854C" w14:textId="0EB6B8A1" w:rsidR="003F3BF0" w:rsidRPr="003F3BF0" w:rsidRDefault="003F3BF0" w:rsidP="003F3BF0">
      <w:r w:rsidRPr="003F3BF0">
        <w:t xml:space="preserve">Critics, including U.S. lawmakers, have highlighted CATL's role in enabling PRC influence over global supply chains. For instance, the company's dominance in BESS and electric vehicle batteries positions it to control energy storage worldwide, creating dependencies that could be exploited during conflicts. CATL has publicly denied military ties but was added to the DoD's list on January 7, 2025, alongside firms like Tencent, reflecting concerns over its support for PLA modernization. </w:t>
      </w:r>
    </w:p>
    <w:p w14:paraId="6AE6EADB" w14:textId="77777777" w:rsidR="003F3BF0" w:rsidRPr="003F3BF0" w:rsidRDefault="003F3BF0" w:rsidP="003F3BF0"/>
    <w:p w14:paraId="1CEAED8E" w14:textId="77777777" w:rsidR="003F3BF0" w:rsidRPr="002C6B4F" w:rsidRDefault="003F3BF0" w:rsidP="003F3BF0">
      <w:pPr>
        <w:rPr>
          <w:sz w:val="40"/>
          <w:szCs w:val="40"/>
        </w:rPr>
      </w:pPr>
      <w:r w:rsidRPr="003F3BF0">
        <w:rPr>
          <w:sz w:val="40"/>
          <w:szCs w:val="40"/>
        </w:rPr>
        <w:t>Key Events and Policy Responses</w:t>
      </w:r>
    </w:p>
    <w:p w14:paraId="496063D6" w14:textId="77777777" w:rsidR="002C6B4F" w:rsidRDefault="003F3BF0" w:rsidP="003F3BF0">
      <w:r w:rsidRPr="003F3BF0">
        <w:t>2023: Investigation into CATL at Camp Lejeune</w:t>
      </w:r>
    </w:p>
    <w:p w14:paraId="1CF4648C" w14:textId="538250BE" w:rsidR="003F3BF0" w:rsidRPr="003F3BF0" w:rsidRDefault="003F3BF0" w:rsidP="003F3BF0">
      <w:r w:rsidRPr="003F3BF0">
        <w:t xml:space="preserve">In November 2023, Senator Marco Rubio, alongside 26 other lawmakers including Senator Ted Cruz, issued a letter to the DoD warning of national security risks from installing CCP-linked technology on U.S. military bases. The focus was on CATL batteries integrated into Duke Energy's system at Marine Corps Base Camp Lejeune, North Carolina, which were seen as vulnerable to remote manipulation or data exfiltration. </w:t>
      </w:r>
    </w:p>
    <w:p w14:paraId="66C21584" w14:textId="093A68C2" w:rsidR="003F3BF0" w:rsidRPr="003F3BF0" w:rsidRDefault="003F3BF0" w:rsidP="003F3BF0">
      <w:pPr>
        <w:rPr>
          <w:vanish/>
        </w:rPr>
      </w:pPr>
    </w:p>
    <w:p w14:paraId="3EC04DCF" w14:textId="77777777" w:rsidR="003F3BF0" w:rsidRPr="003F3BF0" w:rsidRDefault="003F3BF0" w:rsidP="003F3BF0">
      <w:r w:rsidRPr="003F3BF0">
        <w:t xml:space="preserve">By December 2023, Duke Energy disconnected the CATL batteries, and in February 2024, committed to their full decommissioning, replacing them with American alternatives. </w:t>
      </w:r>
    </w:p>
    <w:p w14:paraId="7275C467" w14:textId="17A88263" w:rsidR="003F3BF0" w:rsidRPr="003F3BF0" w:rsidRDefault="003F3BF0" w:rsidP="003F3BF0">
      <w:pPr>
        <w:rPr>
          <w:vanish/>
        </w:rPr>
      </w:pPr>
    </w:p>
    <w:p w14:paraId="2AFCAB31" w14:textId="77777777" w:rsidR="003F3BF0" w:rsidRPr="003F3BF0" w:rsidRDefault="003F3BF0" w:rsidP="003F3BF0">
      <w:r w:rsidRPr="003F3BF0">
        <w:t xml:space="preserve">This incident led to broader DoD directives prohibiting Chinese batteries on Navy and Marine Corps installations. </w:t>
      </w:r>
    </w:p>
    <w:p w14:paraId="3A402F5F" w14:textId="05B960D6" w:rsidR="003F3BF0" w:rsidRPr="003F3BF0" w:rsidRDefault="003F3BF0" w:rsidP="003F3BF0">
      <w:pPr>
        <w:rPr>
          <w:vanish/>
        </w:rPr>
      </w:pPr>
    </w:p>
    <w:p w14:paraId="24955299" w14:textId="77777777" w:rsidR="003F3BF0" w:rsidRDefault="003F3BF0" w:rsidP="003F3BF0">
      <w:r w:rsidRPr="003F3BF0">
        <w:t>While not a nationwide ban on all BESS for military bases, the event signaled a policy shift away from PRC-sourced components in sensitive sites.</w:t>
      </w:r>
    </w:p>
    <w:p w14:paraId="6A7F18A3" w14:textId="77777777" w:rsidR="003F3BF0" w:rsidRDefault="003F3BF0" w:rsidP="003F3BF0"/>
    <w:p w14:paraId="5FD871E1" w14:textId="77777777" w:rsidR="003F3BF0" w:rsidRDefault="003F3BF0" w:rsidP="003F3BF0">
      <w:r w:rsidRPr="003F3BF0">
        <w:t>2024: Emergence of Volt Typhoon and Texas Executive Orders</w:t>
      </w:r>
    </w:p>
    <w:p w14:paraId="4B662EAC" w14:textId="28E121BF" w:rsidR="003F3BF0" w:rsidRPr="003F3BF0" w:rsidRDefault="003F3BF0" w:rsidP="003F3BF0">
      <w:r w:rsidRPr="003F3BF0">
        <w:t xml:space="preserve">In 2024, the FBI and CISA identified Volt Typhoon, a PRC state-sponsored cyber group, as a major threat to U.S. critical infrastructure. Active since at least 2021, Volt Typhoon has prepositioned malware in sectors like energy, transportation, and water, aiming for disruptive attacks during crises. </w:t>
      </w:r>
    </w:p>
    <w:p w14:paraId="2A194A30" w14:textId="68A0989F" w:rsidR="003F3BF0" w:rsidRPr="003F3BF0" w:rsidRDefault="003F3BF0" w:rsidP="003F3BF0">
      <w:pPr>
        <w:rPr>
          <w:vanish/>
        </w:rPr>
      </w:pPr>
      <w:r w:rsidRPr="003F3BF0">
        <w:rPr>
          <w:vanish/>
        </w:rPr>
        <w:t xml:space="preserve"> </w:t>
      </w:r>
    </w:p>
    <w:p w14:paraId="0B342B6D" w14:textId="77777777" w:rsidR="003F3BF0" w:rsidRDefault="003F3BF0" w:rsidP="003F3BF0">
      <w:r w:rsidRPr="003F3BF0">
        <w:t>The group exemplifies PRC tactics of long-term infiltration, often via compromised devices from Chinese manufacturers.</w:t>
      </w:r>
    </w:p>
    <w:p w14:paraId="273FD4C7" w14:textId="740BFEA0" w:rsidR="003F3BF0" w:rsidRPr="003F3BF0" w:rsidRDefault="003F3BF0" w:rsidP="003F3BF0">
      <w:r w:rsidRPr="003F3BF0">
        <w:t xml:space="preserve">In response, Texas Governor Greg Abbott issued Executive Orders GA-48 and GA-49 on November 19, 2024. GA-48 focuses on hardening state government systems against CCP threats, including bans on PRC-linked software and hardware in state agencies. </w:t>
      </w:r>
    </w:p>
    <w:p w14:paraId="56D298C1" w14:textId="56886FBE" w:rsidR="003F3BF0" w:rsidRPr="003F3BF0" w:rsidRDefault="003F3BF0" w:rsidP="003F3BF0">
      <w:pPr>
        <w:rPr>
          <w:vanish/>
        </w:rPr>
      </w:pPr>
    </w:p>
    <w:p w14:paraId="683B025F" w14:textId="77777777" w:rsidR="003F3BF0" w:rsidRDefault="003F3BF0" w:rsidP="003F3BF0">
      <w:r w:rsidRPr="003F3BF0">
        <w:t xml:space="preserve">GA-49 extends protections to critical infrastructure, prohibiting connections that could enable foreign access and emphasizing risks from PRC actors using U.S. systems for harm. </w:t>
      </w:r>
    </w:p>
    <w:p w14:paraId="493B5665" w14:textId="77777777" w:rsidR="002C6B4F" w:rsidRPr="003F3BF0" w:rsidRDefault="002C6B4F" w:rsidP="003F3BF0"/>
    <w:p w14:paraId="3AD6E3AF" w14:textId="77494D2B" w:rsidR="003F3BF0" w:rsidRPr="003F3BF0" w:rsidRDefault="003F3BF0" w:rsidP="003F3BF0">
      <w:pPr>
        <w:rPr>
          <w:vanish/>
        </w:rPr>
      </w:pPr>
    </w:p>
    <w:p w14:paraId="0C1E6133" w14:textId="77777777" w:rsidR="003F3BF0" w:rsidRDefault="003F3BF0" w:rsidP="003F3BF0">
      <w:r w:rsidRPr="003F3BF0">
        <w:t>2025: DoD Listing and Committee Acknowledgment</w:t>
      </w:r>
    </w:p>
    <w:p w14:paraId="60E97D00" w14:textId="52226235" w:rsidR="003F3BF0" w:rsidRPr="003F3BF0" w:rsidRDefault="003F3BF0" w:rsidP="003F3BF0">
      <w:r w:rsidRPr="003F3BF0">
        <w:t xml:space="preserve">On January 7, 2025, CATL was added to the DoD's Section 1260H list of Chinese military companies, due to civil-military fusion concerns that enable PLA access to dual-use technologies. </w:t>
      </w:r>
    </w:p>
    <w:p w14:paraId="786D4D53" w14:textId="061C6384" w:rsidR="003F3BF0" w:rsidRPr="003F3BF0" w:rsidRDefault="003F3BF0" w:rsidP="003F3BF0">
      <w:pPr>
        <w:rPr>
          <w:vanish/>
        </w:rPr>
      </w:pPr>
    </w:p>
    <w:p w14:paraId="143C71AD" w14:textId="77777777" w:rsidR="003F3BF0" w:rsidRPr="003F3BF0" w:rsidRDefault="003F3BF0" w:rsidP="003F3BF0">
      <w:r w:rsidRPr="003F3BF0">
        <w:t xml:space="preserve">In March 2025, the House Select Committee on the CCP held hearings on PRC threats, including dominance in critical minerals and energy tech. While not a Supreme Court proceeding, the committee noted that approximately 70% of global solar panels and 90% of BESS contain Chinese components, creating supply chain vulnerabilities. </w:t>
      </w:r>
    </w:p>
    <w:p w14:paraId="6DE1AB86" w14:textId="341A67FD" w:rsidR="003F3BF0" w:rsidRPr="003F3BF0" w:rsidRDefault="003F3BF0" w:rsidP="003F3BF0">
      <w:pPr>
        <w:rPr>
          <w:vanish/>
        </w:rPr>
      </w:pPr>
    </w:p>
    <w:p w14:paraId="057E1DEF" w14:textId="77777777" w:rsidR="003F3BF0" w:rsidRPr="003F3BF0" w:rsidRDefault="003F3BF0" w:rsidP="003F3BF0">
      <w:r w:rsidRPr="003F3BF0">
        <w:t xml:space="preserve">By November 2025, a bipartisan investigation revealed CCP manipulation of mineral markets to maintain dominance. </w:t>
      </w:r>
    </w:p>
    <w:p w14:paraId="524EFCD1" w14:textId="443F6712" w:rsidR="003F3BF0" w:rsidRPr="003F3BF0" w:rsidRDefault="003F3BF0" w:rsidP="003F3BF0">
      <w:pPr>
        <w:rPr>
          <w:vanish/>
        </w:rPr>
      </w:pPr>
    </w:p>
    <w:p w14:paraId="3B45B119" w14:textId="2E75BFF7" w:rsidR="003F3BF0" w:rsidRDefault="003F3BF0" w:rsidP="003F3BF0">
      <w:r w:rsidRPr="003F3BF0">
        <w:t xml:space="preserve">The Lone Star Infrastructure Protection Act (LSIPA), originally enacted in 2021, was amended in recent sessions to bar equipment from China, Iran, Russia, and North Korea in critical infrastructure if it enables external communication beyond basic maintenance. </w:t>
      </w:r>
      <w:r w:rsidR="002C6B4F">
        <w:lastRenderedPageBreak/>
        <w:t xml:space="preserve">Ongoing </w:t>
      </w:r>
      <w:r w:rsidRPr="003F3BF0">
        <w:t xml:space="preserve">updates align with GA-48/49, emphasizing zero access for high-risk entities like CATL due to infiltration patterns lasting up to five years. </w:t>
      </w:r>
    </w:p>
    <w:p w14:paraId="7F274A15" w14:textId="77777777" w:rsidR="002C6B4F" w:rsidRPr="003F3BF0" w:rsidRDefault="002C6B4F" w:rsidP="003F3BF0"/>
    <w:p w14:paraId="36026967" w14:textId="77777777" w:rsidR="003F3BF0" w:rsidRPr="002C6B4F" w:rsidRDefault="003F3BF0" w:rsidP="003F3BF0">
      <w:pPr>
        <w:rPr>
          <w:sz w:val="40"/>
          <w:szCs w:val="40"/>
        </w:rPr>
      </w:pPr>
      <w:r w:rsidRPr="003F3BF0">
        <w:rPr>
          <w:sz w:val="40"/>
          <w:szCs w:val="40"/>
        </w:rPr>
        <w:t>Risks to Texas Energy Grid</w:t>
      </w:r>
    </w:p>
    <w:p w14:paraId="05E9D3F3" w14:textId="5724B361" w:rsidR="003F3BF0" w:rsidRPr="003F3BF0" w:rsidRDefault="003F3BF0" w:rsidP="003F3BF0">
      <w:r w:rsidRPr="003F3BF0">
        <w:t xml:space="preserve">Texas operates seven independent grids, with ERCOT handling 90% of the state's load. As of 2025, ERCOT has seen explosive growth in BESS, with over 2 GW added in Q3 alone, pushing total capacity toward 12 GW. </w:t>
      </w:r>
    </w:p>
    <w:p w14:paraId="7674BF94" w14:textId="3DC98A10" w:rsidR="003F3BF0" w:rsidRPr="003F3BF0" w:rsidRDefault="003F3BF0" w:rsidP="003F3BF0">
      <w:pPr>
        <w:rPr>
          <w:vanish/>
        </w:rPr>
      </w:pPr>
    </w:p>
    <w:p w14:paraId="77E69AB5" w14:textId="77777777" w:rsidR="003F3BF0" w:rsidRPr="003F3BF0" w:rsidRDefault="003F3BF0" w:rsidP="003F3BF0">
      <w:r w:rsidRPr="003F3BF0">
        <w:t xml:space="preserve">More than 1,000 battery projects are planned, many potentially incorporating Chinese components, heightening risks of cyber vulnerabilities or supply disruptions. </w:t>
      </w:r>
    </w:p>
    <w:p w14:paraId="64C9FB07" w14:textId="7CE32F72" w:rsidR="003F3BF0" w:rsidRPr="003F3BF0" w:rsidRDefault="003F3BF0" w:rsidP="003F3BF0">
      <w:pPr>
        <w:rPr>
          <w:vanish/>
        </w:rPr>
      </w:pPr>
    </w:p>
    <w:p w14:paraId="33B01D53" w14:textId="77777777" w:rsidR="003F3BF0" w:rsidRPr="003F3BF0" w:rsidRDefault="003F3BF0" w:rsidP="003F3BF0">
      <w:r w:rsidRPr="003F3BF0">
        <w:t>PRC actors could exploit these for real-world harm, as warned in GA-49.</w:t>
      </w:r>
    </w:p>
    <w:p w14:paraId="767B1D62" w14:textId="77777777" w:rsidR="003F3BF0" w:rsidRDefault="003F3BF0" w:rsidP="003F3BF0">
      <w:r w:rsidRPr="003F3BF0">
        <w:t>Broader Trends of CCP/PRC Infiltration via ESG and Climate Policies</w:t>
      </w:r>
    </w:p>
    <w:p w14:paraId="449EA37D" w14:textId="094D5323" w:rsidR="003F3BF0" w:rsidRPr="003F3BF0" w:rsidRDefault="003F3BF0" w:rsidP="003F3BF0">
      <w:r w:rsidRPr="003F3BF0">
        <w:t xml:space="preserve">The CCP has capitalized on U.S. ESG mandates and climate goals to infiltrate supply chains. By dominating solar and BESS markets through predatory pricing and state subsidies, PRC firms embed technologies that could serve as backdoors for espionage or sabotage. </w:t>
      </w:r>
    </w:p>
    <w:p w14:paraId="14F2D026" w14:textId="2A164DF5" w:rsidR="003F3BF0" w:rsidRPr="003F3BF0" w:rsidRDefault="003F3BF0" w:rsidP="003F3BF0">
      <w:pPr>
        <w:rPr>
          <w:vanish/>
        </w:rPr>
      </w:pPr>
    </w:p>
    <w:p w14:paraId="4227FE32" w14:textId="77777777" w:rsidR="003F3BF0" w:rsidRPr="003F3BF0" w:rsidRDefault="003F3BF0" w:rsidP="003F3BF0">
      <w:r w:rsidRPr="003F3BF0">
        <w:t xml:space="preserve">Volt Typhoon's targeting of energy infrastructure illustrates this, with FBI Director Christopher Wray describing PRC threats as "broad and unrelenting." </w:t>
      </w:r>
    </w:p>
    <w:p w14:paraId="134FAD71" w14:textId="5351ACCE" w:rsidR="003F3BF0" w:rsidRPr="003F3BF0" w:rsidRDefault="003F3BF0" w:rsidP="003F3BF0">
      <w:pPr>
        <w:rPr>
          <w:vanish/>
        </w:rPr>
      </w:pPr>
    </w:p>
    <w:p w14:paraId="72BD8364" w14:textId="77777777" w:rsidR="003F3BF0" w:rsidRPr="003F3BF0" w:rsidRDefault="003F3BF0" w:rsidP="003F3BF0">
      <w:r w:rsidRPr="003F3BF0">
        <w:t xml:space="preserve">PRC President Xi Jinping has repeatedly asserted intentions to "reunify" Taiwan, implying threats to U.S. interests and allies, which could extend to infrastructure attacks. </w:t>
      </w:r>
    </w:p>
    <w:p w14:paraId="6B668E22" w14:textId="4CD2F62D" w:rsidR="003F3BF0" w:rsidRPr="003F3BF0" w:rsidRDefault="003F3BF0" w:rsidP="003F3BF0">
      <w:pPr>
        <w:rPr>
          <w:vanish/>
        </w:rPr>
      </w:pPr>
    </w:p>
    <w:p w14:paraId="5867A377" w14:textId="77777777" w:rsidR="003F3BF0" w:rsidRDefault="003F3BF0" w:rsidP="003F3BF0">
      <w:r w:rsidRPr="003F3BF0">
        <w:t>This non-allied stance, combined with civil-military fusion, erodes trust in PRC firms.</w:t>
      </w:r>
    </w:p>
    <w:p w14:paraId="74232B32" w14:textId="77777777" w:rsidR="003F3BF0" w:rsidRDefault="003F3BF0" w:rsidP="003F3BF0"/>
    <w:p w14:paraId="79FA59A6" w14:textId="77777777" w:rsidR="003F3BF0" w:rsidRPr="003F3BF0" w:rsidRDefault="003F3BF0" w:rsidP="003F3BF0">
      <w:r w:rsidRPr="003F3BF0">
        <w:t>Recommendations</w:t>
      </w:r>
    </w:p>
    <w:p w14:paraId="144E3968" w14:textId="77777777" w:rsidR="003F3BF0" w:rsidRPr="003F3BF0" w:rsidRDefault="003F3BF0" w:rsidP="003F3BF0">
      <w:pPr>
        <w:numPr>
          <w:ilvl w:val="0"/>
          <w:numId w:val="1"/>
        </w:numPr>
      </w:pPr>
      <w:r w:rsidRPr="003F3BF0">
        <w:rPr>
          <w:b/>
          <w:bCs/>
        </w:rPr>
        <w:t>Prohibit All Access for Listed Entities:</w:t>
      </w:r>
      <w:r w:rsidRPr="003F3BF0">
        <w:t xml:space="preserve"> Ban companies like CATL from any infrastructure involvement, including maintenance, to prevent infiltration.</w:t>
      </w:r>
    </w:p>
    <w:p w14:paraId="17FD0740" w14:textId="77777777" w:rsidR="003F3BF0" w:rsidRPr="003F3BF0" w:rsidRDefault="003F3BF0" w:rsidP="003F3BF0">
      <w:pPr>
        <w:numPr>
          <w:ilvl w:val="0"/>
          <w:numId w:val="1"/>
        </w:numPr>
      </w:pPr>
      <w:r w:rsidRPr="003F3BF0">
        <w:rPr>
          <w:b/>
          <w:bCs/>
        </w:rPr>
        <w:t>Diversify Supply Chains:</w:t>
      </w:r>
      <w:r w:rsidRPr="003F3BF0">
        <w:t xml:space="preserve"> Mandate domestic or allied sourcing for BESS and solar in critical sectors.</w:t>
      </w:r>
    </w:p>
    <w:p w14:paraId="610BEC21" w14:textId="77777777" w:rsidR="003F3BF0" w:rsidRPr="003F3BF0" w:rsidRDefault="003F3BF0" w:rsidP="003F3BF0">
      <w:pPr>
        <w:numPr>
          <w:ilvl w:val="0"/>
          <w:numId w:val="1"/>
        </w:numPr>
      </w:pPr>
      <w:r w:rsidRPr="003F3BF0">
        <w:rPr>
          <w:b/>
          <w:bCs/>
        </w:rPr>
        <w:t>Enhance Cyber Defenses:</w:t>
      </w:r>
      <w:r w:rsidRPr="003F3BF0">
        <w:t xml:space="preserve"> Implement zero-trust architectures and regular audits for PRC-linked components.</w:t>
      </w:r>
    </w:p>
    <w:p w14:paraId="216E8B93" w14:textId="77777777" w:rsidR="003F3BF0" w:rsidRPr="003F3BF0" w:rsidRDefault="003F3BF0" w:rsidP="003F3BF0">
      <w:pPr>
        <w:numPr>
          <w:ilvl w:val="0"/>
          <w:numId w:val="1"/>
        </w:numPr>
      </w:pPr>
      <w:r w:rsidRPr="003F3BF0">
        <w:rPr>
          <w:b/>
          <w:bCs/>
        </w:rPr>
        <w:t>Strengthen State-Federal Coordination:</w:t>
      </w:r>
      <w:r w:rsidRPr="003F3BF0">
        <w:t xml:space="preserve"> Expand LSIPA-like laws nationwide, aligning with DoD lists.</w:t>
      </w:r>
    </w:p>
    <w:p w14:paraId="28ED5B39" w14:textId="77777777" w:rsidR="003F3BF0" w:rsidRPr="003F3BF0" w:rsidRDefault="003F3BF0" w:rsidP="003F3BF0">
      <w:pPr>
        <w:numPr>
          <w:ilvl w:val="0"/>
          <w:numId w:val="1"/>
        </w:numPr>
      </w:pPr>
      <w:r w:rsidRPr="003F3BF0">
        <w:rPr>
          <w:b/>
          <w:bCs/>
        </w:rPr>
        <w:lastRenderedPageBreak/>
        <w:t>Scrutinize ESG Policies:</w:t>
      </w:r>
      <w:r w:rsidRPr="003F3BF0">
        <w:t xml:space="preserve"> Review climate initiatives for security risks, prioritizing resilience over foreign dependencies.</w:t>
      </w:r>
    </w:p>
    <w:p w14:paraId="33F91ACC" w14:textId="77777777" w:rsidR="003F3BF0" w:rsidRDefault="003F3BF0" w:rsidP="003F3BF0"/>
    <w:p w14:paraId="347210F8" w14:textId="77777777" w:rsidR="003F3BF0" w:rsidRPr="002C6B4F" w:rsidRDefault="003F3BF0" w:rsidP="003F3BF0">
      <w:pPr>
        <w:rPr>
          <w:sz w:val="40"/>
          <w:szCs w:val="40"/>
        </w:rPr>
      </w:pPr>
      <w:r w:rsidRPr="003F3BF0">
        <w:rPr>
          <w:sz w:val="40"/>
          <w:szCs w:val="40"/>
        </w:rPr>
        <w:t>Conclusion</w:t>
      </w:r>
    </w:p>
    <w:p w14:paraId="68D3946E" w14:textId="148E5C27" w:rsidR="003F3BF0" w:rsidRPr="003F3BF0" w:rsidRDefault="003F3BF0" w:rsidP="003F3BF0">
      <w:r w:rsidRPr="003F3BF0">
        <w:t>The PRC's strategic use of companies like CATL to penetrate U.S. infrastructure demands decisive action. By leveraging ESG and climate narratives, the CCP positions itself to inflict harm, as evidenced by Volt Typhoon and supply chain dominance. Prohibiting access by non-trusted entities is essential to protect national security and maintain energy independence.</w:t>
      </w:r>
    </w:p>
    <w:p w14:paraId="418A58D1" w14:textId="77777777" w:rsidR="003F3BF0" w:rsidRPr="003F3BF0" w:rsidRDefault="003F3BF0" w:rsidP="003F3BF0"/>
    <w:p w14:paraId="55C20284" w14:textId="77777777" w:rsidR="00D15053" w:rsidRDefault="00D15053"/>
    <w:sectPr w:rsidR="00D150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D2E05" w14:textId="77777777" w:rsidR="00BF2893" w:rsidRDefault="00BF2893" w:rsidP="000D0EAE">
      <w:pPr>
        <w:spacing w:after="0" w:line="240" w:lineRule="auto"/>
      </w:pPr>
      <w:r>
        <w:separator/>
      </w:r>
    </w:p>
  </w:endnote>
  <w:endnote w:type="continuationSeparator" w:id="0">
    <w:p w14:paraId="2786FB46" w14:textId="77777777" w:rsidR="00BF2893" w:rsidRDefault="00BF2893" w:rsidP="000D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E7F3" w14:textId="77777777" w:rsidR="000D0EAE" w:rsidRDefault="000D0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37F2" w14:textId="77777777" w:rsidR="000D0EAE" w:rsidRDefault="000D0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C2AB" w14:textId="77777777" w:rsidR="000D0EAE" w:rsidRDefault="000D0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CDDF" w14:textId="77777777" w:rsidR="00BF2893" w:rsidRDefault="00BF2893" w:rsidP="000D0EAE">
      <w:pPr>
        <w:spacing w:after="0" w:line="240" w:lineRule="auto"/>
      </w:pPr>
      <w:r>
        <w:separator/>
      </w:r>
    </w:p>
  </w:footnote>
  <w:footnote w:type="continuationSeparator" w:id="0">
    <w:p w14:paraId="5AD408E6" w14:textId="77777777" w:rsidR="00BF2893" w:rsidRDefault="00BF2893" w:rsidP="000D0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E077B" w14:textId="7CE6C32C" w:rsidR="000D0EAE" w:rsidRDefault="000D0EAE">
    <w:pPr>
      <w:pStyle w:val="Header"/>
    </w:pPr>
    <w:r>
      <w:rPr>
        <w:noProof/>
      </w:rPr>
      <w:pict w14:anchorId="676731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3282" o:spid="_x0000_s1026" type="#_x0000_t136" style="position:absolute;margin-left:0;margin-top:0;width:377.05pt;height:282.75pt;rotation:315;z-index:-251655168;mso-position-horizontal:center;mso-position-horizontal-relative:margin;mso-position-vertical:center;mso-position-vertical-relative:margin" o:allowincell="f" fillcolor="silver" stroked="f">
          <v:fill opacity=".5"/>
          <v:textpath style="font-family:&quot;Calibri&quot;;font-size:1pt" string="LEA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7994" w14:textId="4E5FDE4B" w:rsidR="000D0EAE" w:rsidRDefault="000D0EAE">
    <w:pPr>
      <w:pStyle w:val="Header"/>
    </w:pPr>
    <w:r>
      <w:rPr>
        <w:noProof/>
      </w:rPr>
      <w:pict w14:anchorId="2605F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3283" o:spid="_x0000_s1027" type="#_x0000_t136" style="position:absolute;margin-left:0;margin-top:0;width:377.05pt;height:282.75pt;rotation:315;z-index:-251653120;mso-position-horizontal:center;mso-position-horizontal-relative:margin;mso-position-vertical:center;mso-position-vertical-relative:margin" o:allowincell="f" fillcolor="silver" stroked="f">
          <v:fill opacity=".5"/>
          <v:textpath style="font-family:&quot;Calibri&quot;;font-size:1pt" string="LEA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B510" w14:textId="22E8F76B" w:rsidR="000D0EAE" w:rsidRDefault="000D0EAE">
    <w:pPr>
      <w:pStyle w:val="Header"/>
    </w:pPr>
    <w:r>
      <w:rPr>
        <w:noProof/>
      </w:rPr>
      <w:pict w14:anchorId="1CF5F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3281" o:spid="_x0000_s1025" type="#_x0000_t136" style="position:absolute;margin-left:0;margin-top:0;width:377.05pt;height:282.75pt;rotation:315;z-index:-251657216;mso-position-horizontal:center;mso-position-horizontal-relative:margin;mso-position-vertical:center;mso-position-vertical-relative:margin" o:allowincell="f" fillcolor="silver" stroked="f">
          <v:fill opacity=".5"/>
          <v:textpath style="font-family:&quot;Calibri&quot;;font-size:1pt" string="LEA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97336"/>
    <w:multiLevelType w:val="multilevel"/>
    <w:tmpl w:val="76EE0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332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F0"/>
    <w:rsid w:val="000D0EAE"/>
    <w:rsid w:val="002C6B4F"/>
    <w:rsid w:val="003F3BF0"/>
    <w:rsid w:val="006F63EA"/>
    <w:rsid w:val="00AA723D"/>
    <w:rsid w:val="00B6045D"/>
    <w:rsid w:val="00BF2893"/>
    <w:rsid w:val="00CD23FE"/>
    <w:rsid w:val="00D15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0A61"/>
  <w15:chartTrackingRefBased/>
  <w15:docId w15:val="{9EBD28A7-5614-4B90-B051-DE2E042A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3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B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B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B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B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B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B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B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BF0"/>
    <w:rPr>
      <w:rFonts w:eastAsiaTheme="majorEastAsia" w:cstheme="majorBidi"/>
      <w:color w:val="272727" w:themeColor="text1" w:themeTint="D8"/>
    </w:rPr>
  </w:style>
  <w:style w:type="paragraph" w:styleId="Title">
    <w:name w:val="Title"/>
    <w:basedOn w:val="Normal"/>
    <w:next w:val="Normal"/>
    <w:link w:val="TitleChar"/>
    <w:uiPriority w:val="10"/>
    <w:qFormat/>
    <w:rsid w:val="003F3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B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B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BF0"/>
    <w:pPr>
      <w:spacing w:before="160"/>
      <w:jc w:val="center"/>
    </w:pPr>
    <w:rPr>
      <w:i/>
      <w:iCs/>
      <w:color w:val="404040" w:themeColor="text1" w:themeTint="BF"/>
    </w:rPr>
  </w:style>
  <w:style w:type="character" w:customStyle="1" w:styleId="QuoteChar">
    <w:name w:val="Quote Char"/>
    <w:basedOn w:val="DefaultParagraphFont"/>
    <w:link w:val="Quote"/>
    <w:uiPriority w:val="29"/>
    <w:rsid w:val="003F3BF0"/>
    <w:rPr>
      <w:i/>
      <w:iCs/>
      <w:color w:val="404040" w:themeColor="text1" w:themeTint="BF"/>
    </w:rPr>
  </w:style>
  <w:style w:type="paragraph" w:styleId="ListParagraph">
    <w:name w:val="List Paragraph"/>
    <w:basedOn w:val="Normal"/>
    <w:uiPriority w:val="34"/>
    <w:qFormat/>
    <w:rsid w:val="003F3BF0"/>
    <w:pPr>
      <w:ind w:left="720"/>
      <w:contextualSpacing/>
    </w:pPr>
  </w:style>
  <w:style w:type="character" w:styleId="IntenseEmphasis">
    <w:name w:val="Intense Emphasis"/>
    <w:basedOn w:val="DefaultParagraphFont"/>
    <w:uiPriority w:val="21"/>
    <w:qFormat/>
    <w:rsid w:val="003F3BF0"/>
    <w:rPr>
      <w:i/>
      <w:iCs/>
      <w:color w:val="0F4761" w:themeColor="accent1" w:themeShade="BF"/>
    </w:rPr>
  </w:style>
  <w:style w:type="paragraph" w:styleId="IntenseQuote">
    <w:name w:val="Intense Quote"/>
    <w:basedOn w:val="Normal"/>
    <w:next w:val="Normal"/>
    <w:link w:val="IntenseQuoteChar"/>
    <w:uiPriority w:val="30"/>
    <w:qFormat/>
    <w:rsid w:val="003F3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BF0"/>
    <w:rPr>
      <w:i/>
      <w:iCs/>
      <w:color w:val="0F4761" w:themeColor="accent1" w:themeShade="BF"/>
    </w:rPr>
  </w:style>
  <w:style w:type="character" w:styleId="IntenseReference">
    <w:name w:val="Intense Reference"/>
    <w:basedOn w:val="DefaultParagraphFont"/>
    <w:uiPriority w:val="32"/>
    <w:qFormat/>
    <w:rsid w:val="003F3BF0"/>
    <w:rPr>
      <w:b/>
      <w:bCs/>
      <w:smallCaps/>
      <w:color w:val="0F4761" w:themeColor="accent1" w:themeShade="BF"/>
      <w:spacing w:val="5"/>
    </w:rPr>
  </w:style>
  <w:style w:type="paragraph" w:styleId="Header">
    <w:name w:val="header"/>
    <w:basedOn w:val="Normal"/>
    <w:link w:val="HeaderChar"/>
    <w:uiPriority w:val="99"/>
    <w:unhideWhenUsed/>
    <w:rsid w:val="000D0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EAE"/>
  </w:style>
  <w:style w:type="paragraph" w:styleId="Footer">
    <w:name w:val="footer"/>
    <w:basedOn w:val="Normal"/>
    <w:link w:val="FooterChar"/>
    <w:uiPriority w:val="99"/>
    <w:unhideWhenUsed/>
    <w:rsid w:val="000D0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White</dc:creator>
  <cp:keywords/>
  <dc:description/>
  <cp:lastModifiedBy>Nancy White</cp:lastModifiedBy>
  <cp:revision>2</cp:revision>
  <dcterms:created xsi:type="dcterms:W3CDTF">2025-11-13T15:22:00Z</dcterms:created>
  <dcterms:modified xsi:type="dcterms:W3CDTF">2025-11-13T20:57:00Z</dcterms:modified>
</cp:coreProperties>
</file>